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3171D" w14:textId="02A776FF" w:rsidR="00BC3B96" w:rsidRDefault="003048C6">
      <w:pPr>
        <w:rPr>
          <w:rFonts w:ascii="Arial" w:hAnsi="Arial" w:cs="Arial"/>
          <w:b/>
        </w:rPr>
      </w:pPr>
      <w:r w:rsidRPr="003048C6">
        <w:rPr>
          <w:rFonts w:ascii="Arial" w:hAnsi="Arial" w:cs="Arial"/>
          <w:b/>
        </w:rPr>
        <w:t xml:space="preserve">VENUS TC statisches Weiß </w:t>
      </w:r>
    </w:p>
    <w:p w14:paraId="478CF63D" w14:textId="42C1D11F" w:rsidR="003048C6" w:rsidRPr="00CA3049" w:rsidRDefault="003048C6">
      <w:pPr>
        <w:rPr>
          <w:rFonts w:ascii="Arial" w:hAnsi="Arial" w:cs="Arial"/>
          <w:sz w:val="20"/>
          <w:szCs w:val="20"/>
        </w:rPr>
      </w:pPr>
      <w:r w:rsidRPr="1383AFE6">
        <w:rPr>
          <w:rFonts w:ascii="Arial" w:hAnsi="Arial" w:cs="Arial"/>
          <w:sz w:val="20"/>
          <w:szCs w:val="20"/>
        </w:rPr>
        <w:t>24V, extern Zertifizierte, IP67-geschützte flexible und absolut homogene, punktfreie LED-Lichtlinie.</w:t>
      </w:r>
      <w:r>
        <w:br/>
      </w:r>
      <w:r w:rsidRPr="1383AFE6">
        <w:rPr>
          <w:rFonts w:ascii="Arial" w:hAnsi="Arial" w:cs="Arial"/>
          <w:sz w:val="20"/>
          <w:szCs w:val="20"/>
        </w:rPr>
        <w:t xml:space="preserve">VENUS TC </w:t>
      </w:r>
      <w:proofErr w:type="spellStart"/>
      <w:r w:rsidR="00CA3049" w:rsidRPr="1383AFE6">
        <w:rPr>
          <w:rFonts w:ascii="Arial" w:hAnsi="Arial" w:cs="Arial"/>
          <w:sz w:val="20"/>
          <w:szCs w:val="20"/>
        </w:rPr>
        <w:t>TopView</w:t>
      </w:r>
      <w:proofErr w:type="spellEnd"/>
      <w:r w:rsidRPr="1383AFE6">
        <w:rPr>
          <w:rFonts w:ascii="Arial" w:hAnsi="Arial" w:cs="Arial"/>
          <w:sz w:val="20"/>
          <w:szCs w:val="20"/>
        </w:rPr>
        <w:t xml:space="preserve"> und 3D: 18 x 18mm (H x B)</w:t>
      </w:r>
      <w:r>
        <w:br/>
      </w:r>
      <w:r w:rsidRPr="1383AFE6">
        <w:rPr>
          <w:rFonts w:ascii="Arial" w:hAnsi="Arial" w:cs="Arial"/>
          <w:sz w:val="20"/>
          <w:szCs w:val="20"/>
        </w:rPr>
        <w:t xml:space="preserve">Der Formfaktor </w:t>
      </w:r>
      <w:r w:rsidR="00CA3049" w:rsidRPr="1383AFE6">
        <w:rPr>
          <w:rFonts w:ascii="Arial" w:hAnsi="Arial" w:cs="Arial"/>
          <w:sz w:val="20"/>
          <w:szCs w:val="20"/>
        </w:rPr>
        <w:t xml:space="preserve">unterscheidet sich bei den Varianten </w:t>
      </w:r>
      <w:proofErr w:type="spellStart"/>
      <w:r w:rsidR="00CA3049" w:rsidRPr="1383AFE6">
        <w:rPr>
          <w:rFonts w:ascii="Arial" w:hAnsi="Arial" w:cs="Arial"/>
          <w:sz w:val="20"/>
          <w:szCs w:val="20"/>
        </w:rPr>
        <w:t>TopView</w:t>
      </w:r>
      <w:proofErr w:type="spellEnd"/>
      <w:r w:rsidR="00CA3049" w:rsidRPr="1383AFE6">
        <w:rPr>
          <w:rFonts w:ascii="Arial" w:hAnsi="Arial" w:cs="Arial"/>
          <w:sz w:val="20"/>
          <w:szCs w:val="20"/>
        </w:rPr>
        <w:t xml:space="preserve"> und 3D nicht</w:t>
      </w:r>
      <w:r w:rsidR="00E90A60">
        <w:rPr>
          <w:rFonts w:ascii="Arial" w:hAnsi="Arial" w:cs="Arial"/>
          <w:sz w:val="20"/>
          <w:szCs w:val="20"/>
        </w:rPr>
        <w:t>, somit ist eine durchgehende Lichtlinie aus beiden Typen möglich</w:t>
      </w:r>
      <w:r w:rsidR="00CA3049" w:rsidRPr="1383AFE6">
        <w:rPr>
          <w:rFonts w:ascii="Arial" w:hAnsi="Arial" w:cs="Arial"/>
          <w:sz w:val="20"/>
          <w:szCs w:val="20"/>
        </w:rPr>
        <w:t>.</w:t>
      </w:r>
      <w:r w:rsidR="2279CB85" w:rsidRPr="1383AFE6">
        <w:rPr>
          <w:rFonts w:ascii="Arial" w:hAnsi="Arial" w:cs="Arial"/>
          <w:sz w:val="20"/>
          <w:szCs w:val="20"/>
        </w:rPr>
        <w:t xml:space="preserve"> Beide Varianten können als </w:t>
      </w:r>
      <w:proofErr w:type="spellStart"/>
      <w:r w:rsidR="2279CB85" w:rsidRPr="1383AFE6">
        <w:rPr>
          <w:rFonts w:ascii="Arial" w:hAnsi="Arial" w:cs="Arial"/>
          <w:sz w:val="20"/>
          <w:szCs w:val="20"/>
        </w:rPr>
        <w:t>opale</w:t>
      </w:r>
      <w:proofErr w:type="spellEnd"/>
      <w:r w:rsidR="2279CB85" w:rsidRPr="1383AFE6">
        <w:rPr>
          <w:rFonts w:ascii="Arial" w:hAnsi="Arial" w:cs="Arial"/>
          <w:sz w:val="20"/>
          <w:szCs w:val="20"/>
        </w:rPr>
        <w:t xml:space="preserve"> Lichtlinie oder mit integrierter flexibler Optik mit einer schmalen Lichtverteilung konfiguriert werden.</w:t>
      </w:r>
    </w:p>
    <w:p w14:paraId="3D106C98" w14:textId="568213A2" w:rsidR="00CA3049" w:rsidRDefault="00CA3049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CA3049">
        <w:rPr>
          <w:rFonts w:ascii="Arial" w:hAnsi="Arial" w:cs="Arial"/>
          <w:sz w:val="20"/>
          <w:szCs w:val="20"/>
        </w:rPr>
        <w:t xml:space="preserve">Vollständiger Polyurethan-Verguss, </w:t>
      </w:r>
      <w:r w:rsidRPr="00CA3049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der eine hochwertige wasserdichte Abdichtung und UV-Beständigkeit bietet. </w:t>
      </w:r>
      <w:proofErr w:type="spellStart"/>
      <w:r w:rsidRPr="00CA3049">
        <w:rPr>
          <w:rFonts w:ascii="Arial" w:eastAsiaTheme="minorEastAsia" w:hAnsi="Arial" w:cs="Arial"/>
          <w:kern w:val="0"/>
          <w:sz w:val="20"/>
          <w:szCs w:val="20"/>
          <w:lang w:eastAsia="de-DE"/>
        </w:rPr>
        <w:t>Opaler</w:t>
      </w:r>
      <w:proofErr w:type="spellEnd"/>
      <w:r w:rsidRPr="00CA3049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Polyurethan-Verguss </w:t>
      </w:r>
      <w:r w:rsidR="007660F8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bei </w:t>
      </w:r>
      <w:proofErr w:type="spellStart"/>
      <w:r w:rsidR="007660F8">
        <w:rPr>
          <w:rFonts w:ascii="Arial" w:eastAsiaTheme="minorEastAsia" w:hAnsi="Arial" w:cs="Arial"/>
          <w:kern w:val="0"/>
          <w:sz w:val="20"/>
          <w:szCs w:val="20"/>
          <w:lang w:eastAsia="de-DE"/>
        </w:rPr>
        <w:t>TopView</w:t>
      </w:r>
      <w:proofErr w:type="spellEnd"/>
      <w:r w:rsidR="007660F8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Varianten </w:t>
      </w:r>
      <w:r w:rsidRPr="00CA3049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und klarer Polyurethan-Verguss bei Varianten mit </w:t>
      </w:r>
      <w:r w:rsidR="002D5FAA">
        <w:rPr>
          <w:rFonts w:ascii="Arial" w:eastAsiaTheme="minorEastAsia" w:hAnsi="Arial" w:cs="Arial"/>
          <w:kern w:val="0"/>
          <w:sz w:val="20"/>
          <w:szCs w:val="20"/>
          <w:lang w:eastAsia="de-DE"/>
        </w:rPr>
        <w:t>flexibler linearer Optik.</w:t>
      </w:r>
      <w:r w:rsidRPr="00CA3049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Die Polyurethan-Formel wurde einzig für die LED-Technologie entwickelt. Beständig gegen korrosive Gase wie Schwefel, Chlor oder Salznebel. Vollautomatisierter und zuverlässiger Vergussprozess im eigenen Haus mit einer 100% Funktions- und Warenausgangskontrolle jeder Leuchte.</w:t>
      </w:r>
    </w:p>
    <w:p w14:paraId="5754CF76" w14:textId="6588F094" w:rsidR="00A41764" w:rsidRDefault="00A41764" w:rsidP="1383AFE6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3048C6">
        <w:rPr>
          <w:rFonts w:ascii="Arial" w:hAnsi="Arial" w:cs="Arial"/>
          <w:sz w:val="20"/>
          <w:szCs w:val="20"/>
        </w:rPr>
        <w:t>Frei in der Länge konfigurierbar</w:t>
      </w:r>
      <w:r w:rsidR="004C7C4F" w:rsidRPr="003048C6">
        <w:rPr>
          <w:rFonts w:ascii="Arial" w:hAnsi="Arial" w:cs="Arial"/>
          <w:sz w:val="20"/>
          <w:szCs w:val="20"/>
        </w:rPr>
        <w:t xml:space="preserve"> bis zu einer maximalen Länge von vier Metern für die TV Variant und zwei Meter für die 3D Variante</w:t>
      </w:r>
      <w:r w:rsidRPr="003048C6">
        <w:rPr>
          <w:rFonts w:ascii="Arial" w:hAnsi="Arial" w:cs="Arial"/>
          <w:sz w:val="20"/>
          <w:szCs w:val="20"/>
        </w:rPr>
        <w:t>. Rückseitige Kabelführung für eine optimal Leuchtenmontage</w:t>
      </w:r>
      <w:r w:rsidR="406B4A50" w:rsidRPr="003048C6">
        <w:rPr>
          <w:rFonts w:ascii="Arial" w:hAnsi="Arial" w:cs="Arial"/>
          <w:sz w:val="20"/>
          <w:szCs w:val="20"/>
        </w:rPr>
        <w:t xml:space="preserve"> als durchgehende Lichtlinie</w:t>
      </w:r>
      <w:r>
        <w:rPr>
          <w:rFonts w:ascii="Arial" w:hAnsi="Arial" w:cs="Arial"/>
          <w:sz w:val="20"/>
          <w:szCs w:val="20"/>
        </w:rPr>
        <w:t xml:space="preserve">. </w:t>
      </w:r>
      <w:r w:rsidRPr="1383AFE6">
        <w:rPr>
          <w:rFonts w:ascii="Arial" w:eastAsiaTheme="minorEastAsia" w:hAnsi="Arial" w:cs="Arial"/>
          <w:kern w:val="0"/>
          <w:sz w:val="20"/>
          <w:szCs w:val="20"/>
          <w:lang w:eastAsia="de-DE"/>
        </w:rPr>
        <w:t>Ausgestattet mit einem IP67-Kabel- und Steckersystem, inklusive Montagezubehör nach Wahl.</w:t>
      </w:r>
    </w:p>
    <w:p w14:paraId="7CE60735" w14:textId="1F2A01F6" w:rsidR="003048C6" w:rsidRPr="00CA3049" w:rsidRDefault="00CA3049">
      <w:pPr>
        <w:rPr>
          <w:rFonts w:ascii="Arial" w:hAnsi="Arial" w:cs="Arial"/>
          <w:sz w:val="20"/>
          <w:szCs w:val="20"/>
        </w:rPr>
      </w:pPr>
      <w:r w:rsidRPr="00383636">
        <w:rPr>
          <w:rFonts w:ascii="Arial" w:hAnsi="Arial" w:cs="Arial"/>
          <w:sz w:val="20"/>
          <w:szCs w:val="20"/>
        </w:rPr>
        <w:t xml:space="preserve">True Color Technologie für eine optimale Wiedergabe des LED-Spektrums (minimale Farbverschiebung). </w:t>
      </w:r>
      <w:r w:rsidR="000E2214" w:rsidRPr="00383636">
        <w:rPr>
          <w:rFonts w:ascii="Arial" w:hAnsi="Arial" w:cs="Arial"/>
          <w:sz w:val="20"/>
          <w:szCs w:val="20"/>
        </w:rPr>
        <w:t xml:space="preserve">Erhältlich in 2D (Top View) oder 3D. </w:t>
      </w:r>
      <w:r w:rsidRPr="00383636">
        <w:rPr>
          <w:rFonts w:ascii="Arial" w:hAnsi="Arial" w:cs="Arial"/>
          <w:sz w:val="20"/>
          <w:szCs w:val="20"/>
        </w:rPr>
        <w:t xml:space="preserve">3D biegbar, mit einem minimalen Radius von 150 mm und um 180°/m </w:t>
      </w:r>
      <w:proofErr w:type="spellStart"/>
      <w:r w:rsidRPr="00383636">
        <w:rPr>
          <w:rFonts w:ascii="Arial" w:hAnsi="Arial" w:cs="Arial"/>
          <w:sz w:val="20"/>
          <w:szCs w:val="20"/>
        </w:rPr>
        <w:t>verdrehbar</w:t>
      </w:r>
      <w:proofErr w:type="spellEnd"/>
      <w:r w:rsidRPr="00383636">
        <w:rPr>
          <w:rFonts w:ascii="Arial" w:hAnsi="Arial" w:cs="Arial"/>
          <w:sz w:val="20"/>
          <w:szCs w:val="20"/>
        </w:rPr>
        <w:t xml:space="preserve"> </w:t>
      </w:r>
      <w:r w:rsidR="00B255B4" w:rsidRPr="00383636">
        <w:rPr>
          <w:rFonts w:ascii="Arial" w:hAnsi="Arial" w:cs="Arial"/>
          <w:sz w:val="20"/>
          <w:szCs w:val="20"/>
        </w:rPr>
        <w:t>oder</w:t>
      </w:r>
      <w:r w:rsidR="000E2214" w:rsidRPr="00383636">
        <w:rPr>
          <w:rFonts w:ascii="Arial" w:hAnsi="Arial" w:cs="Arial"/>
          <w:sz w:val="20"/>
          <w:szCs w:val="20"/>
        </w:rPr>
        <w:t xml:space="preserve"> 2D biegbar,</w:t>
      </w:r>
      <w:r w:rsidR="00B255B4" w:rsidRPr="00383636">
        <w:rPr>
          <w:rFonts w:ascii="Arial" w:hAnsi="Arial" w:cs="Arial"/>
          <w:sz w:val="20"/>
          <w:szCs w:val="20"/>
        </w:rPr>
        <w:t xml:space="preserve"> nur senkrechte Biegerichtung, mit einem Radius von 150 mm </w:t>
      </w:r>
      <w:r w:rsidRPr="00383636">
        <w:rPr>
          <w:rFonts w:ascii="Arial" w:hAnsi="Arial" w:cs="Arial"/>
          <w:sz w:val="20"/>
          <w:szCs w:val="20"/>
        </w:rPr>
        <w:t>– die ideale Lösung für schmale organische Akzentbeleuchtungslösungen (Innen-/Außenbereich) für Fassaden oder als dekorative Direktbeleuchtung, für die die Schutzklasse IP67 erforderlich ist.</w:t>
      </w:r>
    </w:p>
    <w:p w14:paraId="5DEA584C" w14:textId="6D948FBC" w:rsidR="00B255B4" w:rsidRDefault="000E2214" w:rsidP="1383AFE6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1383AFE6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Es stehen </w:t>
      </w:r>
      <w:r w:rsidR="697564CB" w:rsidRPr="1383AFE6">
        <w:rPr>
          <w:rFonts w:ascii="Arial" w:eastAsiaTheme="minorEastAsia" w:hAnsi="Arial" w:cs="Arial"/>
          <w:kern w:val="0"/>
          <w:sz w:val="20"/>
          <w:szCs w:val="20"/>
          <w:lang w:eastAsia="de-DE"/>
        </w:rPr>
        <w:t>zwei</w:t>
      </w:r>
      <w:r w:rsidRPr="1383AFE6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verschiedene</w:t>
      </w:r>
      <w:r w:rsidR="00163E80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Lichtverteilungen </w:t>
      </w:r>
      <w:r w:rsidRPr="1383AFE6">
        <w:rPr>
          <w:rFonts w:ascii="Arial" w:eastAsiaTheme="minorEastAsia" w:hAnsi="Arial" w:cs="Arial"/>
          <w:kern w:val="0"/>
          <w:sz w:val="20"/>
          <w:szCs w:val="20"/>
          <w:lang w:eastAsia="de-DE"/>
        </w:rPr>
        <w:t>zur Auswahl, die eine elliptische Lichtverteilung mit 20° sowie eine Opaloptik umfasst. </w:t>
      </w:r>
      <w:r w:rsidR="00B255B4" w:rsidRPr="1383AFE6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Als einzigarte lineare Optiktechnologie bietet </w:t>
      </w:r>
      <w:r w:rsidR="00B255B4" w:rsidRPr="003048C6">
        <w:rPr>
          <w:rFonts w:ascii="Arial" w:hAnsi="Arial" w:cs="Arial"/>
          <w:sz w:val="20"/>
          <w:szCs w:val="20"/>
        </w:rPr>
        <w:t xml:space="preserve">die 20°-Optik eine homogene und präzise Lichtverteilung ohne unerwünschte </w:t>
      </w:r>
      <w:proofErr w:type="spellStart"/>
      <w:r w:rsidR="00B255B4" w:rsidRPr="003048C6">
        <w:rPr>
          <w:rFonts w:ascii="Arial" w:hAnsi="Arial" w:cs="Arial"/>
          <w:sz w:val="20"/>
          <w:szCs w:val="20"/>
        </w:rPr>
        <w:t>Scallop</w:t>
      </w:r>
      <w:proofErr w:type="spellEnd"/>
      <w:r w:rsidR="00B255B4" w:rsidRPr="003048C6">
        <w:rPr>
          <w:rFonts w:ascii="Arial" w:hAnsi="Arial" w:cs="Arial"/>
          <w:sz w:val="20"/>
          <w:szCs w:val="20"/>
        </w:rPr>
        <w:t>-Effekte (wie bei TIR-Linsen)</w:t>
      </w:r>
      <w:r>
        <w:rPr>
          <w:rFonts w:ascii="Arial" w:hAnsi="Arial" w:cs="Arial"/>
          <w:sz w:val="20"/>
          <w:szCs w:val="20"/>
        </w:rPr>
        <w:t>.</w:t>
      </w:r>
    </w:p>
    <w:p w14:paraId="0F8D49B6" w14:textId="1AA82573" w:rsidR="00B255B4" w:rsidRDefault="00B255B4">
      <w:pPr>
        <w:rPr>
          <w:rFonts w:ascii="Arial" w:eastAsiaTheme="minorEastAsia" w:hAnsi="Arial" w:cs="Arial"/>
          <w:b/>
          <w:kern w:val="0"/>
          <w:lang w:eastAsia="de-DE"/>
        </w:rPr>
      </w:pPr>
      <w:r w:rsidRPr="00B255B4">
        <w:rPr>
          <w:rFonts w:ascii="Arial" w:eastAsiaTheme="minorEastAsia" w:hAnsi="Arial" w:cs="Arial"/>
          <w:b/>
          <w:kern w:val="0"/>
          <w:lang w:eastAsia="de-DE"/>
        </w:rPr>
        <w:t>Montagezubehör</w:t>
      </w:r>
    </w:p>
    <w:p w14:paraId="66E3C41C" w14:textId="31400828" w:rsidR="00B255B4" w:rsidRPr="00BE24C1" w:rsidRDefault="00E04EAC" w:rsidP="00B255B4">
      <w:pPr>
        <w:pStyle w:val="Listenabsatz"/>
        <w:numPr>
          <w:ilvl w:val="0"/>
          <w:numId w:val="1"/>
        </w:numPr>
        <w:rPr>
          <w:rFonts w:ascii="Arial" w:hAnsi="Arial" w:cs="Arial"/>
          <w:bCs/>
          <w:sz w:val="20"/>
          <w:szCs w:val="20"/>
        </w:rPr>
      </w:pPr>
      <w:r w:rsidRPr="00BE24C1">
        <w:rPr>
          <w:rFonts w:ascii="Arial" w:hAnsi="Arial" w:cs="Arial"/>
          <w:bCs/>
          <w:sz w:val="20"/>
          <w:szCs w:val="20"/>
        </w:rPr>
        <w:t>Anbau mit Montageclips</w:t>
      </w:r>
      <w:r w:rsidR="00430EC0" w:rsidRPr="00BE24C1">
        <w:rPr>
          <w:rFonts w:ascii="Arial" w:hAnsi="Arial" w:cs="Arial"/>
          <w:bCs/>
          <w:sz w:val="20"/>
          <w:szCs w:val="20"/>
        </w:rPr>
        <w:t>, ohne Kabelkanal, aus</w:t>
      </w:r>
      <w:r w:rsidRPr="00BE24C1">
        <w:rPr>
          <w:rFonts w:ascii="Arial" w:hAnsi="Arial" w:cs="Arial"/>
          <w:bCs/>
          <w:sz w:val="20"/>
          <w:szCs w:val="20"/>
        </w:rPr>
        <w:t xml:space="preserve"> </w:t>
      </w:r>
      <w:r w:rsidR="003F2928" w:rsidRPr="00BE24C1">
        <w:rPr>
          <w:rFonts w:ascii="Arial" w:hAnsi="Arial" w:cs="Arial"/>
          <w:bCs/>
          <w:sz w:val="20"/>
          <w:szCs w:val="20"/>
        </w:rPr>
        <w:t>pulverbeschichteten Aluminium in RAL9003 matt.</w:t>
      </w:r>
      <w:r w:rsidR="00A41764" w:rsidRPr="00BE24C1">
        <w:rPr>
          <w:rFonts w:ascii="Arial" w:hAnsi="Arial" w:cs="Arial"/>
          <w:bCs/>
          <w:sz w:val="20"/>
          <w:szCs w:val="20"/>
        </w:rPr>
        <w:t xml:space="preserve"> Ermöglicht eine flache Anbaumontage. </w:t>
      </w:r>
    </w:p>
    <w:p w14:paraId="1E93249A" w14:textId="4F8DD921" w:rsidR="00430EC0" w:rsidRPr="00BE24C1" w:rsidRDefault="00430EC0" w:rsidP="00B255B4">
      <w:pPr>
        <w:pStyle w:val="Listenabsatz"/>
        <w:numPr>
          <w:ilvl w:val="0"/>
          <w:numId w:val="1"/>
        </w:numPr>
        <w:rPr>
          <w:rFonts w:ascii="Arial" w:hAnsi="Arial" w:cs="Arial"/>
          <w:bCs/>
          <w:sz w:val="20"/>
          <w:szCs w:val="20"/>
        </w:rPr>
      </w:pPr>
      <w:r w:rsidRPr="00BE24C1">
        <w:rPr>
          <w:rFonts w:ascii="Arial" w:hAnsi="Arial" w:cs="Arial"/>
          <w:bCs/>
          <w:sz w:val="20"/>
          <w:szCs w:val="20"/>
        </w:rPr>
        <w:t xml:space="preserve">Anbau mit Montageclips, mit Kabelkanal, aus </w:t>
      </w:r>
      <w:r w:rsidR="003F2928" w:rsidRPr="00BE24C1">
        <w:rPr>
          <w:rFonts w:ascii="Arial" w:hAnsi="Arial" w:cs="Arial"/>
          <w:bCs/>
          <w:sz w:val="20"/>
          <w:szCs w:val="20"/>
        </w:rPr>
        <w:t>pulverbeschichteten Aluminium in RAL9003 matt.</w:t>
      </w:r>
      <w:r w:rsidR="00A41764" w:rsidRPr="00BE24C1">
        <w:rPr>
          <w:rFonts w:ascii="Arial" w:hAnsi="Arial" w:cs="Arial"/>
          <w:bCs/>
          <w:sz w:val="20"/>
          <w:szCs w:val="20"/>
        </w:rPr>
        <w:t xml:space="preserve"> Ermöglicht das Verstecken der Verkabelung im Montageclip.</w:t>
      </w:r>
    </w:p>
    <w:p w14:paraId="6C35871D" w14:textId="5BDC1336" w:rsidR="003F2928" w:rsidRPr="00BE24C1" w:rsidRDefault="003F2928" w:rsidP="1383AFE6">
      <w:pPr>
        <w:pStyle w:val="Listenabsatz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BE24C1">
        <w:rPr>
          <w:rFonts w:ascii="Arial" w:hAnsi="Arial" w:cs="Arial"/>
          <w:sz w:val="20"/>
          <w:szCs w:val="20"/>
        </w:rPr>
        <w:t>Anbau mit Montageprofil, ohne Kabelkanal, aus pulverbeschichteten Aluminium in RAL9003 matt.</w:t>
      </w:r>
      <w:r w:rsidR="00A41764" w:rsidRPr="00BE24C1">
        <w:rPr>
          <w:rFonts w:ascii="Arial" w:hAnsi="Arial" w:cs="Arial"/>
          <w:sz w:val="20"/>
          <w:szCs w:val="20"/>
        </w:rPr>
        <w:t xml:space="preserve"> </w:t>
      </w:r>
      <w:r w:rsidR="57D03EAF" w:rsidRPr="00BE24C1">
        <w:rPr>
          <w:rFonts w:ascii="Arial" w:eastAsia="Arial" w:hAnsi="Arial" w:cs="Arial"/>
          <w:color w:val="000000" w:themeColor="text1"/>
          <w:sz w:val="20"/>
          <w:szCs w:val="20"/>
        </w:rPr>
        <w:t>Sonderfarben für Montageprofile auf Anfrage erhältlich.</w:t>
      </w:r>
      <w:r w:rsidR="57D03EAF" w:rsidRPr="00BE24C1">
        <w:rPr>
          <w:sz w:val="20"/>
          <w:szCs w:val="20"/>
        </w:rPr>
        <w:t xml:space="preserve"> </w:t>
      </w:r>
      <w:r w:rsidR="00A41764" w:rsidRPr="00BE24C1">
        <w:rPr>
          <w:rFonts w:ascii="Arial" w:hAnsi="Arial" w:cs="Arial"/>
          <w:sz w:val="20"/>
          <w:szCs w:val="20"/>
        </w:rPr>
        <w:t>Ermöglicht eine flache Anbaumontage.</w:t>
      </w:r>
    </w:p>
    <w:p w14:paraId="0BC13994" w14:textId="06B0B8B6" w:rsidR="003F2928" w:rsidRPr="00BE24C1" w:rsidRDefault="003F2928" w:rsidP="1383AFE6">
      <w:pPr>
        <w:pStyle w:val="Listenabsatz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BE24C1">
        <w:rPr>
          <w:rFonts w:ascii="Arial" w:hAnsi="Arial" w:cs="Arial"/>
          <w:sz w:val="20"/>
          <w:szCs w:val="20"/>
        </w:rPr>
        <w:t>Anbau mit Montageprofil, mit Kabelkanal, aus pulverbeschichteten Aluminium in RAL9003 matt.</w:t>
      </w:r>
      <w:r w:rsidR="00A41764" w:rsidRPr="00BE24C1">
        <w:rPr>
          <w:rFonts w:ascii="Arial" w:hAnsi="Arial" w:cs="Arial"/>
          <w:sz w:val="20"/>
          <w:szCs w:val="20"/>
        </w:rPr>
        <w:t xml:space="preserve"> </w:t>
      </w:r>
      <w:r w:rsidR="73380DE3" w:rsidRPr="00BE24C1">
        <w:rPr>
          <w:rFonts w:ascii="Arial" w:eastAsia="Arial" w:hAnsi="Arial" w:cs="Arial"/>
          <w:color w:val="000000" w:themeColor="text1"/>
          <w:sz w:val="20"/>
          <w:szCs w:val="20"/>
        </w:rPr>
        <w:t>Sonderfarben für Montageprofile auf Anfrage erhältlich.</w:t>
      </w:r>
      <w:r w:rsidR="73380DE3" w:rsidRPr="00BE24C1">
        <w:rPr>
          <w:sz w:val="20"/>
          <w:szCs w:val="20"/>
        </w:rPr>
        <w:t xml:space="preserve"> </w:t>
      </w:r>
      <w:r w:rsidR="00A41764" w:rsidRPr="00BE24C1">
        <w:rPr>
          <w:rFonts w:ascii="Arial" w:hAnsi="Arial" w:cs="Arial"/>
          <w:sz w:val="20"/>
          <w:szCs w:val="20"/>
        </w:rPr>
        <w:t>Ermöglicht das Verstecken der Verkabelung im Montageprofil.</w:t>
      </w:r>
    </w:p>
    <w:p w14:paraId="7394A2A1" w14:textId="2594FF60" w:rsidR="003048C6" w:rsidRPr="00BE24C1" w:rsidRDefault="003F2928" w:rsidP="003F2928">
      <w:pPr>
        <w:pStyle w:val="Listenabsatz"/>
        <w:numPr>
          <w:ilvl w:val="0"/>
          <w:numId w:val="1"/>
        </w:numPr>
        <w:rPr>
          <w:rFonts w:ascii="Arial" w:hAnsi="Arial" w:cs="Arial"/>
          <w:bCs/>
          <w:sz w:val="20"/>
          <w:szCs w:val="20"/>
        </w:rPr>
      </w:pPr>
      <w:r w:rsidRPr="00BE24C1">
        <w:rPr>
          <w:rFonts w:ascii="Arial" w:hAnsi="Arial" w:cs="Arial"/>
          <w:bCs/>
          <w:sz w:val="20"/>
          <w:szCs w:val="20"/>
        </w:rPr>
        <w:t>Anbau mit Halteklammern, aus einem transparenten Kunststoff.</w:t>
      </w:r>
    </w:p>
    <w:p w14:paraId="4E20BB0A" w14:textId="1F0300AE" w:rsidR="003F2928" w:rsidRPr="004271B7" w:rsidRDefault="003F2928" w:rsidP="004271B7">
      <w:pPr>
        <w:rPr>
          <w:rFonts w:ascii="Arial" w:hAnsi="Arial" w:cs="Arial"/>
          <w:b/>
          <w:bCs/>
        </w:rPr>
      </w:pPr>
      <w:r w:rsidRPr="003F2928">
        <w:rPr>
          <w:rFonts w:ascii="Arial" w:hAnsi="Arial" w:cs="Arial"/>
          <w:b/>
          <w:bCs/>
        </w:rPr>
        <w:t>Zusätzliches Blendschutz</w:t>
      </w:r>
      <w:r w:rsidR="004271B7" w:rsidRPr="004271B7">
        <w:rPr>
          <w:rFonts w:ascii="Arial" w:hAnsi="Arial" w:cs="Arial"/>
          <w:b/>
          <w:bCs/>
        </w:rPr>
        <w:t xml:space="preserve"> </w:t>
      </w:r>
      <w:r w:rsidR="004271B7" w:rsidRPr="003F2928">
        <w:rPr>
          <w:rFonts w:ascii="Arial" w:hAnsi="Arial" w:cs="Arial"/>
          <w:b/>
          <w:bCs/>
        </w:rPr>
        <w:t>Zubehör</w:t>
      </w:r>
    </w:p>
    <w:p w14:paraId="3D7EFB99" w14:textId="50B7357C" w:rsidR="003F2928" w:rsidRPr="003F2928" w:rsidRDefault="003F2928" w:rsidP="003F2928">
      <w:pPr>
        <w:pStyle w:val="Listenabsatz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Blendschutzprofil</w:t>
      </w:r>
      <w:proofErr w:type="spellEnd"/>
      <w:r>
        <w:rPr>
          <w:rFonts w:ascii="Arial" w:hAnsi="Arial" w:cs="Arial"/>
          <w:sz w:val="20"/>
          <w:szCs w:val="20"/>
        </w:rPr>
        <w:t xml:space="preserve"> aus Aluminium, pulverbeschichtet in RAL9003 matt,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um das Licht auf eine Seite abzuschirmen und die Lichtquelle vollständig zu verbergen. Ideal für Streiflicht Anwendungen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. Verfügbar in 1m und 2m Länge. Zur Verwendung mit Montageclips und Montageprofil.</w:t>
      </w:r>
    </w:p>
    <w:p w14:paraId="4A605FE6" w14:textId="16663AA7" w:rsidR="00B255B4" w:rsidRPr="00C44E5B" w:rsidRDefault="00C44E5B">
      <w:pPr>
        <w:rPr>
          <w:rFonts w:ascii="Arial" w:hAnsi="Arial" w:cs="Arial"/>
          <w:b/>
        </w:rPr>
      </w:pPr>
      <w:r w:rsidRPr="00C44E5B">
        <w:rPr>
          <w:rFonts w:ascii="Arial" w:hAnsi="Arial" w:cs="Arial"/>
          <w:b/>
        </w:rPr>
        <w:t>Lichtquelle</w:t>
      </w:r>
    </w:p>
    <w:p w14:paraId="15FBBBBF" w14:textId="77777777" w:rsidR="00A41764" w:rsidRPr="00FC014E" w:rsidRDefault="00A41764" w:rsidP="00A4176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24-V-Lichtquelle, hergestellt mit einem hochmodernen automatisierten Reel-</w:t>
      </w:r>
      <w:proofErr w:type="spellStart"/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to</w:t>
      </w:r>
      <w:proofErr w:type="spellEnd"/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-Reel-Produktionsverfahrens (R2R), das die LED Linear™ </w:t>
      </w:r>
      <w:proofErr w:type="spellStart"/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Tj</w:t>
      </w:r>
      <w:proofErr w:type="spellEnd"/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proofErr w:type="spellStart"/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Away</w:t>
      </w:r>
      <w:proofErr w:type="spellEnd"/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®-Technologie für dünne, flexible Leiterplatten unterstützt. </w:t>
      </w:r>
    </w:p>
    <w:p w14:paraId="755E4588" w14:textId="77777777" w:rsidR="00A41764" w:rsidRPr="00FC014E" w:rsidRDefault="00A41764" w:rsidP="00A4176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58846DE3" w14:textId="2A0147CA" w:rsidR="00B255B4" w:rsidRDefault="00A41764">
      <w:pPr>
        <w:rPr>
          <w:rFonts w:ascii="Arial" w:hAnsi="Arial" w:cs="Arial"/>
          <w:sz w:val="20"/>
          <w:szCs w:val="20"/>
        </w:rPr>
      </w:pPr>
      <w:r w:rsidRPr="003048C6">
        <w:rPr>
          <w:rFonts w:ascii="Arial" w:hAnsi="Arial" w:cs="Arial"/>
          <w:sz w:val="20"/>
          <w:szCs w:val="20"/>
        </w:rPr>
        <w:t xml:space="preserve">In Kombination mit Chip-Scale-Package-LEDs (CSP) </w:t>
      </w:r>
      <w:r w:rsidR="00314300" w:rsidRPr="003048C6">
        <w:rPr>
          <w:rFonts w:ascii="Arial" w:hAnsi="Arial" w:cs="Arial"/>
          <w:sz w:val="20"/>
          <w:szCs w:val="20"/>
        </w:rPr>
        <w:t xml:space="preserve">mit 3-stufigem </w:t>
      </w:r>
      <w:proofErr w:type="spellStart"/>
      <w:r w:rsidR="00314300" w:rsidRPr="003048C6">
        <w:rPr>
          <w:rFonts w:ascii="Arial" w:hAnsi="Arial" w:cs="Arial"/>
          <w:sz w:val="20"/>
          <w:szCs w:val="20"/>
        </w:rPr>
        <w:t>MacAdams</w:t>
      </w:r>
      <w:proofErr w:type="spellEnd"/>
      <w:r w:rsidR="00314300" w:rsidRPr="003048C6">
        <w:rPr>
          <w:rFonts w:ascii="Arial" w:hAnsi="Arial" w:cs="Arial"/>
          <w:sz w:val="20"/>
          <w:szCs w:val="20"/>
        </w:rPr>
        <w:t>-Binning (SDCM3), zentriert auf die Ziel-CCT (</w:t>
      </w:r>
      <w:proofErr w:type="spellStart"/>
      <w:r w:rsidR="00314300" w:rsidRPr="003048C6">
        <w:rPr>
          <w:rFonts w:ascii="Arial" w:hAnsi="Arial" w:cs="Arial"/>
          <w:sz w:val="20"/>
          <w:szCs w:val="20"/>
        </w:rPr>
        <w:t>One</w:t>
      </w:r>
      <w:proofErr w:type="spellEnd"/>
      <w:r w:rsidR="00314300" w:rsidRPr="003048C6">
        <w:rPr>
          <w:rFonts w:ascii="Arial" w:hAnsi="Arial" w:cs="Arial"/>
          <w:sz w:val="20"/>
          <w:szCs w:val="20"/>
        </w:rPr>
        <w:t xml:space="preserve"> Bin Only), mit einem erweiterten photometrischen Code von </w:t>
      </w:r>
      <w:proofErr w:type="spellStart"/>
      <w:r w:rsidR="00314300" w:rsidRPr="003048C6">
        <w:rPr>
          <w:rFonts w:ascii="Arial" w:hAnsi="Arial" w:cs="Arial"/>
          <w:sz w:val="20"/>
          <w:szCs w:val="20"/>
        </w:rPr>
        <w:t>Wxxx</w:t>
      </w:r>
      <w:proofErr w:type="spellEnd"/>
      <w:r w:rsidR="00314300" w:rsidRPr="003048C6">
        <w:rPr>
          <w:rFonts w:ascii="Arial" w:hAnsi="Arial" w:cs="Arial"/>
          <w:sz w:val="20"/>
          <w:szCs w:val="20"/>
        </w:rPr>
        <w:t>/339, der eine außergewöhnliche Farbkonsistenz über die Nennlebensdauer gewährleistet</w:t>
      </w:r>
      <w:r w:rsidR="00314300">
        <w:rPr>
          <w:rFonts w:ascii="Arial" w:hAnsi="Arial" w:cs="Arial"/>
          <w:sz w:val="20"/>
          <w:szCs w:val="20"/>
        </w:rPr>
        <w:t>, w</w:t>
      </w:r>
      <w:r w:rsidRPr="003048C6">
        <w:rPr>
          <w:rFonts w:ascii="Arial" w:hAnsi="Arial" w:cs="Arial"/>
          <w:sz w:val="20"/>
          <w:szCs w:val="20"/>
        </w:rPr>
        <w:t xml:space="preserve">ird ein </w:t>
      </w:r>
      <w:r w:rsidRPr="003048C6">
        <w:rPr>
          <w:rFonts w:ascii="Arial" w:hAnsi="Arial" w:cs="Arial"/>
          <w:sz w:val="20"/>
          <w:szCs w:val="20"/>
        </w:rPr>
        <w:lastRenderedPageBreak/>
        <w:t>reduzierter Wärmewiderstand für eine optimale Wärmeableitung (Übergang zum Profil) erreicht, was eine hervorragende Lebensdauer von &gt; 60.000 Stunden (L80/B10) garantiert</w:t>
      </w:r>
      <w:r>
        <w:rPr>
          <w:rFonts w:ascii="Arial" w:hAnsi="Arial" w:cs="Arial"/>
          <w:sz w:val="20"/>
          <w:szCs w:val="20"/>
        </w:rPr>
        <w:t>.</w:t>
      </w:r>
    </w:p>
    <w:p w14:paraId="6E93308D" w14:textId="4858DA39" w:rsidR="00A41764" w:rsidRDefault="00A41764" w:rsidP="00061A7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Erstklassige Farbwiedergabe mit einem CRI von bis zu 9</w:t>
      </w:r>
      <w:r w:rsidR="0002483F">
        <w:rPr>
          <w:rFonts w:ascii="Arial" w:eastAsiaTheme="minorEastAsia" w:hAnsi="Arial" w:cs="Arial"/>
          <w:kern w:val="0"/>
          <w:sz w:val="20"/>
          <w:szCs w:val="20"/>
          <w:lang w:eastAsia="de-DE"/>
        </w:rPr>
        <w:t>6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(R9 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bis zu </w:t>
      </w:r>
      <w:r w:rsidR="0002483F">
        <w:rPr>
          <w:rFonts w:ascii="Arial" w:eastAsiaTheme="minorEastAsia" w:hAnsi="Arial" w:cs="Arial"/>
          <w:kern w:val="0"/>
          <w:sz w:val="20"/>
          <w:szCs w:val="20"/>
          <w:lang w:eastAsia="de-DE"/>
        </w:rPr>
        <w:t>90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) und TM-30-15 bis zu Rf = 92 / </w:t>
      </w:r>
      <w:proofErr w:type="spellStart"/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Rg</w:t>
      </w:r>
      <w:proofErr w:type="spellEnd"/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= 10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0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was eine bemerkenswerte Lichtqualität gewährleistet. </w:t>
      </w:r>
    </w:p>
    <w:p w14:paraId="56FEB133" w14:textId="77777777" w:rsidR="00061A71" w:rsidRPr="00061A71" w:rsidRDefault="00061A71" w:rsidP="00061A7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475C6161" w14:textId="77777777" w:rsidR="00AB5CF4" w:rsidRDefault="00AB5CF4" w:rsidP="00AB5C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Eine gleichmäßige Lichtintensität über die gesamte Länge der Leuchte wird durch eine aktive Stromregelung erreicht, die durch integrierte Schaltkreise (ICs) auf jedem </w:t>
      </w:r>
      <w:proofErr w:type="spellStart"/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Step</w:t>
      </w:r>
      <w:proofErr w:type="spellEnd"/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der Lichtquelle reguliert wird. </w:t>
      </w:r>
    </w:p>
    <w:p w14:paraId="1988AA51" w14:textId="77777777" w:rsidR="00AB5CF4" w:rsidRPr="00FC014E" w:rsidRDefault="00AB5CF4" w:rsidP="00AB5C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32592A1B" w14:textId="77777777" w:rsidR="00AB5CF4" w:rsidRPr="00FC014E" w:rsidRDefault="00AB5CF4" w:rsidP="00AB5C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Geschützt gegen elektrostatische Entladung +/- 2.000 V und </w:t>
      </w:r>
      <w:proofErr w:type="spellStart"/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Verpolung</w:t>
      </w:r>
      <w:proofErr w:type="spellEnd"/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. </w:t>
      </w:r>
    </w:p>
    <w:p w14:paraId="21B1167E" w14:textId="77777777" w:rsidR="00AB5CF4" w:rsidRPr="00FC014E" w:rsidRDefault="00AB5CF4" w:rsidP="00AB5C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21B89A98" w14:textId="77777777" w:rsidR="00AB5CF4" w:rsidRPr="00FC014E" w:rsidRDefault="00AB5CF4" w:rsidP="00AB5C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Vollständig PWM-dimmbar für Frequenzen &gt; 0 Hz bis 2 kHz (flimmerfrei für Frequenzen über 1,2 kHz gemäß IEEE P1789-Standard). </w:t>
      </w:r>
    </w:p>
    <w:p w14:paraId="420F8340" w14:textId="77777777" w:rsidR="00AB5CF4" w:rsidRPr="00FC014E" w:rsidRDefault="00AB5CF4" w:rsidP="00AB5C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682AF368" w14:textId="0C941163" w:rsidR="00AB5CF4" w:rsidRPr="00FC014E" w:rsidRDefault="00A625BB" w:rsidP="00AB5C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Leuchte und Lichtquelle e</w:t>
      </w:r>
      <w:r w:rsidR="00AB5CF4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ntwickelt und hergestellt in Deutschland.</w:t>
      </w:r>
    </w:p>
    <w:p w14:paraId="0AA997E8" w14:textId="77777777" w:rsidR="00B255B4" w:rsidRDefault="00B255B4">
      <w:pPr>
        <w:rPr>
          <w:rFonts w:ascii="Arial" w:hAnsi="Arial" w:cs="Arial"/>
          <w:sz w:val="20"/>
          <w:szCs w:val="20"/>
        </w:rPr>
      </w:pPr>
    </w:p>
    <w:p w14:paraId="3294193C" w14:textId="021DFDA4" w:rsidR="00AB5CF4" w:rsidRDefault="00AB5CF4">
      <w:pPr>
        <w:rPr>
          <w:rFonts w:ascii="Arial" w:hAnsi="Arial" w:cs="Arial"/>
          <w:b/>
        </w:rPr>
      </w:pPr>
      <w:r w:rsidRPr="00AB5CF4">
        <w:rPr>
          <w:rFonts w:ascii="Arial" w:hAnsi="Arial" w:cs="Arial"/>
          <w:b/>
        </w:rPr>
        <w:t xml:space="preserve">Berichte und Zertifizierungen </w:t>
      </w:r>
    </w:p>
    <w:p w14:paraId="70927B8D" w14:textId="77777777" w:rsidR="00AB5CF4" w:rsidRPr="00FC014E" w:rsidRDefault="00AB5CF4" w:rsidP="00AB5C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CE: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gemäß EN 60598-1:2022; EN 60598-2-1:2021</w:t>
      </w:r>
    </w:p>
    <w:p w14:paraId="3E9AC051" w14:textId="77777777" w:rsidR="00AB5CF4" w:rsidRPr="00FC014E" w:rsidRDefault="00AB5CF4" w:rsidP="00AB5CF4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Ökodesign-Richtlinie 2019/2020/EU (L315/209</w:t>
      </w:r>
    </w:p>
    <w:p w14:paraId="51D0B313" w14:textId="77777777" w:rsidR="00AB5CF4" w:rsidRPr="00FC014E" w:rsidRDefault="00AB5CF4" w:rsidP="00AB5C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ROHS-Richtlinie 2011/65/EU (L174/88)</w:t>
      </w:r>
    </w:p>
    <w:p w14:paraId="4E72BCF6" w14:textId="77777777" w:rsidR="00AB5CF4" w:rsidRPr="00FC014E" w:rsidRDefault="00AB5CF4" w:rsidP="00AB5C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WEEE-Richtlinie 2012/19/EU (L197/38)</w:t>
      </w:r>
    </w:p>
    <w:p w14:paraId="22C81A23" w14:textId="77777777" w:rsidR="00AB5CF4" w:rsidRPr="00FC014E" w:rsidRDefault="00AB5CF4" w:rsidP="00AB5C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Salzwasser für Küstenregionen: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gemäß EN IEC 60068-2-52:2018 Testmethode: 1</w:t>
      </w:r>
    </w:p>
    <w:p w14:paraId="719F7259" w14:textId="77777777" w:rsidR="00AB5CF4" w:rsidRPr="00FC014E" w:rsidRDefault="00AB5CF4" w:rsidP="00AB5CF4">
      <w:pPr>
        <w:widowControl w:val="0"/>
        <w:autoSpaceDE w:val="0"/>
        <w:autoSpaceDN w:val="0"/>
        <w:adjustRightInd w:val="0"/>
        <w:spacing w:after="0" w:line="240" w:lineRule="auto"/>
        <w:ind w:left="3540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Testdauer 28 Tage bei 40°C mit 93% Luftfeuchtigkeit und 5% Salzkonzentration</w:t>
      </w:r>
    </w:p>
    <w:p w14:paraId="5ECE4E4B" w14:textId="77777777" w:rsidR="00AB5CF4" w:rsidRPr="00FC014E" w:rsidRDefault="00AB5CF4" w:rsidP="00AB5C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IP67:            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 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Testbedingungen: 30 Min. lang 1 Meter unter Wasser</w:t>
      </w:r>
    </w:p>
    <w:p w14:paraId="2B9E7195" w14:textId="77777777" w:rsidR="00AB5CF4" w:rsidRPr="00FC014E" w:rsidRDefault="00AB5CF4" w:rsidP="00AB5C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 xml:space="preserve">ETL:                </w:t>
      </w:r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ab/>
      </w:r>
      <w:r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 xml:space="preserve">Ja, </w:t>
      </w:r>
      <w:proofErr w:type="spellStart"/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>gemäß</w:t>
      </w:r>
      <w:proofErr w:type="spellEnd"/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 xml:space="preserve"> ATM-Bericht </w:t>
      </w:r>
    </w:p>
    <w:p w14:paraId="78782EE7" w14:textId="77777777" w:rsidR="00AB5CF4" w:rsidRPr="00FC014E" w:rsidRDefault="00AB5CF4" w:rsidP="00AB5CF4">
      <w:pPr>
        <w:widowControl w:val="0"/>
        <w:autoSpaceDE w:val="0"/>
        <w:autoSpaceDN w:val="0"/>
        <w:adjustRightInd w:val="0"/>
        <w:spacing w:after="0" w:line="240" w:lineRule="auto"/>
        <w:ind w:left="3540"/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</w:pPr>
      <w:bookmarkStart w:id="0" w:name="_Hlk211517676"/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>UL2108:2015 Ed.2+R:27Sep2024; CSA C22.2#250.0:2021 Ed.5+U1;U2</w:t>
      </w:r>
    </w:p>
    <w:bookmarkEnd w:id="0"/>
    <w:p w14:paraId="35AC4297" w14:textId="77777777" w:rsidR="00AB5CF4" w:rsidRDefault="00AB5CF4" w:rsidP="00AB5C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CB-Bericht:            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gemäß IEC 60598-2-1:2020; IEC 60598-1:2020</w:t>
      </w:r>
    </w:p>
    <w:p w14:paraId="64215EE8" w14:textId="03097F79" w:rsidR="00D57458" w:rsidRPr="00FC014E" w:rsidRDefault="00D57458" w:rsidP="00AB5C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>EPD:</w:t>
      </w: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gemäß ISO14025</w:t>
      </w:r>
    </w:p>
    <w:p w14:paraId="70745662" w14:textId="77777777" w:rsidR="00AB5CF4" w:rsidRPr="00FC014E" w:rsidRDefault="00AB5CF4" w:rsidP="00AB5C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proofErr w:type="spellStart"/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DarkSky</w:t>
      </w:r>
      <w:proofErr w:type="spellEnd"/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:           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 xml:space="preserve">Ja, gemäß den Vorschriften der </w:t>
      </w:r>
      <w:proofErr w:type="spellStart"/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DarkSky</w:t>
      </w:r>
      <w:proofErr w:type="spellEnd"/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proofErr w:type="spellStart"/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Association</w:t>
      </w:r>
      <w:proofErr w:type="spellEnd"/>
    </w:p>
    <w:p w14:paraId="3A22F18D" w14:textId="77777777" w:rsidR="00AB5CF4" w:rsidRPr="00FC014E" w:rsidRDefault="00AB5CF4" w:rsidP="00AB5C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Lichtquelle bis max. 3000 K</w:t>
      </w:r>
    </w:p>
    <w:p w14:paraId="6999831D" w14:textId="77777777" w:rsidR="00AB5CF4" w:rsidRPr="00FC014E" w:rsidRDefault="00AB5CF4" w:rsidP="00AB5C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Integrierter Blendschutz</w:t>
      </w:r>
    </w:p>
    <w:p w14:paraId="4147E805" w14:textId="77777777" w:rsidR="00AB5CF4" w:rsidRDefault="00AB5CF4" w:rsidP="00AB5CF4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Zusätzliches Blendschutz Zubehör</w:t>
      </w:r>
    </w:p>
    <w:p w14:paraId="490E65CF" w14:textId="65F7494B" w:rsidR="009C3487" w:rsidRPr="00FC014E" w:rsidRDefault="009C3487" w:rsidP="009C3487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9C3487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(gilt nur für Variante mit </w:t>
      </w:r>
      <w:proofErr w:type="spellStart"/>
      <w:r w:rsidRPr="009C3487">
        <w:rPr>
          <w:rFonts w:ascii="Arial" w:eastAsiaTheme="minorEastAsia" w:hAnsi="Arial" w:cs="Arial"/>
          <w:kern w:val="0"/>
          <w:sz w:val="20"/>
          <w:szCs w:val="20"/>
          <w:lang w:eastAsia="de-DE"/>
        </w:rPr>
        <w:t>Optics</w:t>
      </w:r>
      <w:proofErr w:type="spellEnd"/>
      <w:r w:rsidRPr="009C3487">
        <w:rPr>
          <w:rFonts w:ascii="Arial" w:eastAsiaTheme="minorEastAsia" w:hAnsi="Arial" w:cs="Arial"/>
          <w:kern w:val="0"/>
          <w:sz w:val="20"/>
          <w:szCs w:val="20"/>
          <w:lang w:eastAsia="de-DE"/>
        </w:rPr>
        <w:t>)</w:t>
      </w:r>
    </w:p>
    <w:p w14:paraId="6015A0A7" w14:textId="77777777" w:rsidR="001F1ED6" w:rsidRPr="00FC014E" w:rsidRDefault="001F1ED6" w:rsidP="001F1ED6">
      <w:pPr>
        <w:widowControl w:val="0"/>
        <w:autoSpaceDE w:val="0"/>
        <w:autoSpaceDN w:val="0"/>
        <w:adjustRightInd w:val="0"/>
        <w:spacing w:after="0" w:line="240" w:lineRule="auto"/>
        <w:ind w:left="3540" w:hanging="3540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UV-Beständigkeit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Testbedingungen: UV-A- und U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Strahlungsdosen, 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br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die einer zehnjährigen direkten Sonneneinstrahlung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entsprechen</w:t>
      </w:r>
    </w:p>
    <w:p w14:paraId="3E3C5031" w14:textId="77777777" w:rsidR="00AB5CF4" w:rsidRPr="00FC014E" w:rsidRDefault="00AB5CF4" w:rsidP="00AB5C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TM30, TM21, TM82:       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Berichte auf Anfrage erhältlich</w:t>
      </w:r>
    </w:p>
    <w:p w14:paraId="2ADD2F95" w14:textId="77777777" w:rsidR="00AB5CF4" w:rsidRPr="00FC014E" w:rsidRDefault="00AB5CF4" w:rsidP="00AB5C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LM79, LM80:           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Berichte auf Anfrage erhältlich</w:t>
      </w:r>
    </w:p>
    <w:p w14:paraId="110AF42B" w14:textId="77777777" w:rsidR="00AB5CF4" w:rsidRPr="00AB5CF4" w:rsidRDefault="00AB5CF4">
      <w:pPr>
        <w:rPr>
          <w:rFonts w:ascii="Arial" w:hAnsi="Arial" w:cs="Arial"/>
          <w:sz w:val="20"/>
          <w:szCs w:val="20"/>
        </w:rPr>
      </w:pPr>
    </w:p>
    <w:p w14:paraId="161DF3DB" w14:textId="4B4E701B" w:rsidR="003048C6" w:rsidRPr="003048C6" w:rsidRDefault="003048C6">
      <w:pPr>
        <w:rPr>
          <w:rFonts w:ascii="Arial" w:hAnsi="Arial" w:cs="Arial"/>
          <w:sz w:val="20"/>
          <w:szCs w:val="20"/>
        </w:rPr>
      </w:pPr>
    </w:p>
    <w:sectPr w:rsidR="003048C6" w:rsidRPr="003048C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362CE"/>
    <w:multiLevelType w:val="hybridMultilevel"/>
    <w:tmpl w:val="90045DFC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456D3"/>
    <w:multiLevelType w:val="hybridMultilevel"/>
    <w:tmpl w:val="563CA3D0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9393502">
    <w:abstractNumId w:val="1"/>
  </w:num>
  <w:num w:numId="2" w16cid:durableId="134029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8C6"/>
    <w:rsid w:val="0002483F"/>
    <w:rsid w:val="000434CF"/>
    <w:rsid w:val="00057DC7"/>
    <w:rsid w:val="00061A71"/>
    <w:rsid w:val="00074507"/>
    <w:rsid w:val="000E2214"/>
    <w:rsid w:val="000E4803"/>
    <w:rsid w:val="001155BD"/>
    <w:rsid w:val="00163E80"/>
    <w:rsid w:val="001A7FB5"/>
    <w:rsid w:val="001F1ED6"/>
    <w:rsid w:val="001F5A77"/>
    <w:rsid w:val="002D5FAA"/>
    <w:rsid w:val="003048C6"/>
    <w:rsid w:val="00311090"/>
    <w:rsid w:val="00314300"/>
    <w:rsid w:val="00345886"/>
    <w:rsid w:val="00354439"/>
    <w:rsid w:val="00374E01"/>
    <w:rsid w:val="00383636"/>
    <w:rsid w:val="003B35FA"/>
    <w:rsid w:val="003F2928"/>
    <w:rsid w:val="00405253"/>
    <w:rsid w:val="004271B7"/>
    <w:rsid w:val="00430EC0"/>
    <w:rsid w:val="004733E5"/>
    <w:rsid w:val="004C7C4F"/>
    <w:rsid w:val="00500220"/>
    <w:rsid w:val="005311B1"/>
    <w:rsid w:val="00532270"/>
    <w:rsid w:val="00557C11"/>
    <w:rsid w:val="005F6576"/>
    <w:rsid w:val="00665CD3"/>
    <w:rsid w:val="00681ECF"/>
    <w:rsid w:val="006B080A"/>
    <w:rsid w:val="007660F8"/>
    <w:rsid w:val="007C0611"/>
    <w:rsid w:val="007F6F48"/>
    <w:rsid w:val="0083561A"/>
    <w:rsid w:val="009C3487"/>
    <w:rsid w:val="00A41764"/>
    <w:rsid w:val="00A625BB"/>
    <w:rsid w:val="00AB45FE"/>
    <w:rsid w:val="00AB5CF4"/>
    <w:rsid w:val="00B178D8"/>
    <w:rsid w:val="00B255B4"/>
    <w:rsid w:val="00B53E29"/>
    <w:rsid w:val="00B7053C"/>
    <w:rsid w:val="00BC3B96"/>
    <w:rsid w:val="00BE24C1"/>
    <w:rsid w:val="00C11544"/>
    <w:rsid w:val="00C44E5B"/>
    <w:rsid w:val="00CA3049"/>
    <w:rsid w:val="00CD37A9"/>
    <w:rsid w:val="00D45A3F"/>
    <w:rsid w:val="00D57458"/>
    <w:rsid w:val="00D8089E"/>
    <w:rsid w:val="00DB5306"/>
    <w:rsid w:val="00DE612E"/>
    <w:rsid w:val="00E04EAC"/>
    <w:rsid w:val="00E3693B"/>
    <w:rsid w:val="00E37592"/>
    <w:rsid w:val="00E90A60"/>
    <w:rsid w:val="00F26076"/>
    <w:rsid w:val="1383AFE6"/>
    <w:rsid w:val="2279CB85"/>
    <w:rsid w:val="3FEC0BB5"/>
    <w:rsid w:val="406B4A50"/>
    <w:rsid w:val="57D03EAF"/>
    <w:rsid w:val="697564CB"/>
    <w:rsid w:val="6E8EA9BF"/>
    <w:rsid w:val="70A9AF3E"/>
    <w:rsid w:val="72F0BF9D"/>
    <w:rsid w:val="73380DE3"/>
    <w:rsid w:val="7D0DB507"/>
    <w:rsid w:val="7DB19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31302"/>
  <w15:chartTrackingRefBased/>
  <w15:docId w15:val="{9A815256-E9FF-4591-BCF4-285692FDE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048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048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048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048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048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048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048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048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048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048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048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048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048C6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048C6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048C6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048C6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048C6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048C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048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048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048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048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048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048C6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048C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048C6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048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048C6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048C6"/>
    <w:rPr>
      <w:b/>
      <w:bCs/>
      <w:smallCaps/>
      <w:color w:val="0F4761" w:themeColor="accent1" w:themeShade="BF"/>
      <w:spacing w:val="5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4588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4588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4588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4588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4588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a7b78a-a0f9-48e8-bc75-66e720fbb2a2">
      <Terms xmlns="http://schemas.microsoft.com/office/infopath/2007/PartnerControls"/>
    </lcf76f155ced4ddcb4097134ff3c332f>
    <TaxCatchAll xmlns="59fe52f9-08cd-4680-bca6-6274c66ef8a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141E53A78AA14AB7EA7A2B6659DB8F" ma:contentTypeVersion="12" ma:contentTypeDescription="Ein neues Dokument erstellen." ma:contentTypeScope="" ma:versionID="33559ca19d930f39148573e1f71a219c">
  <xsd:schema xmlns:xsd="http://www.w3.org/2001/XMLSchema" xmlns:xs="http://www.w3.org/2001/XMLSchema" xmlns:p="http://schemas.microsoft.com/office/2006/metadata/properties" xmlns:ns2="a5a7b78a-a0f9-48e8-bc75-66e720fbb2a2" xmlns:ns3="59fe52f9-08cd-4680-bca6-6274c66ef8a7" targetNamespace="http://schemas.microsoft.com/office/2006/metadata/properties" ma:root="true" ma:fieldsID="acd935b02c44eb5bd840642968470a8d" ns2:_="" ns3:_="">
    <xsd:import namespace="a5a7b78a-a0f9-48e8-bc75-66e720fbb2a2"/>
    <xsd:import namespace="59fe52f9-08cd-4680-bca6-6274c66ef8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7b78a-a0f9-48e8-bc75-66e720fbb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3d459374-35f4-4cc4-8209-1117ea4149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e52f9-08cd-4680-bca6-6274c66ef8a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305678e-fd2f-4760-8f0b-fd012a5937f5}" ma:internalName="TaxCatchAll" ma:showField="CatchAllData" ma:web="59fe52f9-08cd-4680-bca6-6274c66ef8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A47038-6BD5-4E94-B8CF-DA0E84406C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5CC9F8-EA06-47AE-8BD0-4C014257A229}">
  <ds:schemaRefs>
    <ds:schemaRef ds:uri="http://schemas.microsoft.com/office/2006/metadata/properties"/>
    <ds:schemaRef ds:uri="http://schemas.microsoft.com/office/infopath/2007/PartnerControls"/>
    <ds:schemaRef ds:uri="dcf8a495-1023-4eea-820b-e76c70f2fa2f"/>
    <ds:schemaRef ds:uri="5f923376-ad6d-4fb0-873f-adf0c92a9677"/>
  </ds:schemaRefs>
</ds:datastoreItem>
</file>

<file path=customXml/itemProps3.xml><?xml version="1.0" encoding="utf-8"?>
<ds:datastoreItem xmlns:ds="http://schemas.openxmlformats.org/officeDocument/2006/customXml" ds:itemID="{1B0EC8BB-433B-4586-B216-3446EB367A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754</Words>
  <Characters>4756</Characters>
  <Application>Microsoft Office Word</Application>
  <DocSecurity>0</DocSecurity>
  <Lines>39</Lines>
  <Paragraphs>10</Paragraphs>
  <ScaleCrop>false</ScaleCrop>
  <Company/>
  <LinksUpToDate>false</LinksUpToDate>
  <CharactersWithSpaces>5500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Luyten, Lukas</dc:creator>
  <cp:keywords/>
  <dc:description/>
  <cp:lastModifiedBy>Luyten, Lukas</cp:lastModifiedBy>
  <cp:revision>46</cp:revision>
  <dcterms:created xsi:type="dcterms:W3CDTF">2026-03-10T11:25:00Z</dcterms:created>
  <dcterms:modified xsi:type="dcterms:W3CDTF">2026-06-03T08:30:00Z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0x010100F2141E53A78AA14AB7EA7A2B6659DB8F</vt:lpwstr>
  </property>
  <property fmtid="{D5CDD505-2E9C-101B-9397-08002B2CF9AE}" pid="3" name="MediaServiceImageTags">
    <vt:lpwstr/>
  </property>
</Properties>
</file>